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0A666B">
        <w:rPr>
          <w:sz w:val="28"/>
          <w:szCs w:val="28"/>
        </w:rPr>
        <w:t>а их денежное содержание за 2023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0A666B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1-й квартал 2023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35496C">
            <w:pPr>
              <w:spacing w:line="276" w:lineRule="auto"/>
              <w:jc w:val="center"/>
            </w:pPr>
            <w:r>
              <w:t>68 847,00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A666B"/>
    <w:rsid w:val="0035496C"/>
    <w:rsid w:val="004426E5"/>
    <w:rsid w:val="00496BE0"/>
    <w:rsid w:val="008B0A3B"/>
    <w:rsid w:val="008F02CC"/>
    <w:rsid w:val="00940EBD"/>
    <w:rsid w:val="00D66816"/>
    <w:rsid w:val="00D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2021-04-12T13:45:00Z</dcterms:created>
  <dcterms:modified xsi:type="dcterms:W3CDTF">2024-03-29T13:11:00Z</dcterms:modified>
</cp:coreProperties>
</file>